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E82CB" w14:textId="77777777" w:rsidR="00A47CF6" w:rsidRDefault="00A47CF6" w:rsidP="00A47CF6">
      <w:pPr>
        <w:pStyle w:val="paragraph"/>
        <w:spacing w:before="0" w:beforeAutospacing="0" w:after="0" w:afterAutospacing="0"/>
        <w:jc w:val="center"/>
        <w:textAlignment w:val="baseline"/>
        <w:rPr>
          <w:rStyle w:val="eop"/>
          <w:b/>
          <w:bCs/>
        </w:rPr>
      </w:pPr>
      <w:r w:rsidRPr="0084238E">
        <w:rPr>
          <w:rStyle w:val="normaltextrun"/>
          <w:b/>
          <w:bCs/>
          <w:lang w:val="en-US"/>
        </w:rPr>
        <w:t xml:space="preserve">Implementing a Delirium Assessment Tool: Improving Delirium Screening Rates and Reducing Acute Care Transfers </w:t>
      </w:r>
      <w:r w:rsidRPr="0084238E">
        <w:rPr>
          <w:rStyle w:val="eop"/>
          <w:b/>
          <w:bCs/>
        </w:rPr>
        <w:t> </w:t>
      </w:r>
    </w:p>
    <w:p w14:paraId="6B724F2F" w14:textId="77777777" w:rsidR="0084238E" w:rsidRDefault="0084238E" w:rsidP="00A47CF6">
      <w:pPr>
        <w:pStyle w:val="paragraph"/>
        <w:spacing w:before="0" w:beforeAutospacing="0" w:after="0" w:afterAutospacing="0"/>
        <w:jc w:val="center"/>
        <w:textAlignment w:val="baseline"/>
        <w:rPr>
          <w:rStyle w:val="eop"/>
          <w:b/>
          <w:bCs/>
        </w:rPr>
      </w:pPr>
    </w:p>
    <w:p w14:paraId="42FB9EA1" w14:textId="1B54A46E" w:rsidR="0084238E" w:rsidRPr="0084238E" w:rsidRDefault="0084238E" w:rsidP="00A47CF6">
      <w:pPr>
        <w:pStyle w:val="paragraph"/>
        <w:spacing w:before="0" w:beforeAutospacing="0" w:after="0" w:afterAutospacing="0"/>
        <w:jc w:val="center"/>
        <w:textAlignment w:val="baseline"/>
        <w:rPr>
          <w:rStyle w:val="eop"/>
        </w:rPr>
      </w:pPr>
      <w:r w:rsidRPr="0084238E">
        <w:rPr>
          <w:rStyle w:val="eop"/>
        </w:rPr>
        <w:t>Arlenne Gonzalvo-Atienza, RN, BScN, MN, CNCC ©</w:t>
      </w:r>
    </w:p>
    <w:p w14:paraId="7AA3B49A" w14:textId="7BC10E6E" w:rsidR="0084238E" w:rsidRPr="0084238E" w:rsidRDefault="0084238E" w:rsidP="00A47CF6">
      <w:pPr>
        <w:pStyle w:val="paragraph"/>
        <w:spacing w:before="0" w:beforeAutospacing="0" w:after="0" w:afterAutospacing="0"/>
        <w:jc w:val="center"/>
        <w:textAlignment w:val="baseline"/>
        <w:rPr>
          <w:rStyle w:val="eop"/>
        </w:rPr>
      </w:pPr>
      <w:r w:rsidRPr="0084238E">
        <w:rPr>
          <w:rStyle w:val="eop"/>
        </w:rPr>
        <w:t>Advanced Practice Nurse at Toronto Grace Health Centre</w:t>
      </w:r>
      <w:r>
        <w:rPr>
          <w:rStyle w:val="eop"/>
        </w:rPr>
        <w:t xml:space="preserve"> (TGHC)</w:t>
      </w:r>
    </w:p>
    <w:p w14:paraId="24A8E561" w14:textId="7BEECFD5" w:rsidR="0084238E" w:rsidRPr="0084238E" w:rsidRDefault="0084238E" w:rsidP="00A47CF6">
      <w:pPr>
        <w:pStyle w:val="paragraph"/>
        <w:spacing w:before="0" w:beforeAutospacing="0" w:after="0" w:afterAutospacing="0"/>
        <w:jc w:val="center"/>
        <w:textAlignment w:val="baseline"/>
        <w:rPr>
          <w:rStyle w:val="eop"/>
        </w:rPr>
      </w:pPr>
      <w:r w:rsidRPr="0084238E">
        <w:rPr>
          <w:rStyle w:val="eop"/>
        </w:rPr>
        <w:t>Amber Hickson, RN, BScN</w:t>
      </w:r>
      <w:r w:rsidR="00BF0BAD">
        <w:rPr>
          <w:rStyle w:val="eop"/>
        </w:rPr>
        <w:t>, MN Student</w:t>
      </w:r>
    </w:p>
    <w:p w14:paraId="207C44D2" w14:textId="6C0116E3" w:rsidR="0084238E" w:rsidRDefault="0084238E" w:rsidP="00A47CF6">
      <w:pPr>
        <w:pStyle w:val="paragraph"/>
        <w:spacing w:before="0" w:beforeAutospacing="0" w:after="0" w:afterAutospacing="0"/>
        <w:jc w:val="center"/>
        <w:textAlignment w:val="baseline"/>
        <w:rPr>
          <w:rStyle w:val="eop"/>
        </w:rPr>
      </w:pPr>
      <w:r w:rsidRPr="0084238E">
        <w:rPr>
          <w:rStyle w:val="eop"/>
        </w:rPr>
        <w:t>Patient Care Coordinator</w:t>
      </w:r>
      <w:r>
        <w:rPr>
          <w:rStyle w:val="eop"/>
        </w:rPr>
        <w:t xml:space="preserve"> at Specialized Care Centre, TGHC</w:t>
      </w:r>
    </w:p>
    <w:p w14:paraId="72B4F3AE" w14:textId="6509084F" w:rsidR="00DF55BD" w:rsidRDefault="00DF55BD" w:rsidP="00A47CF6">
      <w:pPr>
        <w:pStyle w:val="paragraph"/>
        <w:spacing w:before="0" w:beforeAutospacing="0" w:after="0" w:afterAutospacing="0"/>
        <w:jc w:val="center"/>
        <w:textAlignment w:val="baseline"/>
        <w:rPr>
          <w:rStyle w:val="eop"/>
        </w:rPr>
      </w:pPr>
      <w:r>
        <w:rPr>
          <w:rStyle w:val="eop"/>
        </w:rPr>
        <w:t>Chrincia Bernard, RN, BScN, MN</w:t>
      </w:r>
    </w:p>
    <w:p w14:paraId="16831D6D" w14:textId="1B002D39" w:rsidR="00DF55BD" w:rsidRPr="0084238E" w:rsidRDefault="00DF55BD" w:rsidP="00A47CF6">
      <w:pPr>
        <w:pStyle w:val="paragraph"/>
        <w:spacing w:before="0" w:beforeAutospacing="0" w:after="0" w:afterAutospacing="0"/>
        <w:jc w:val="center"/>
        <w:textAlignment w:val="baseline"/>
        <w:rPr>
          <w:rStyle w:val="eop"/>
        </w:rPr>
      </w:pPr>
      <w:r>
        <w:rPr>
          <w:rStyle w:val="eop"/>
        </w:rPr>
        <w:t xml:space="preserve">Patient Care Manager at </w:t>
      </w:r>
      <w:r w:rsidRPr="00DF55BD">
        <w:t>Specialized Care Centre, TGHC</w:t>
      </w:r>
    </w:p>
    <w:p w14:paraId="656E4431" w14:textId="77777777" w:rsidR="00A47CF6" w:rsidRDefault="00A47CF6" w:rsidP="00A47CF6">
      <w:pPr>
        <w:pStyle w:val="paragraph"/>
        <w:spacing w:before="0" w:beforeAutospacing="0" w:after="0" w:afterAutospacing="0"/>
        <w:jc w:val="center"/>
        <w:textAlignment w:val="baseline"/>
        <w:rPr>
          <w:rFonts w:ascii="Segoe UI" w:hAnsi="Segoe UI" w:cs="Segoe UI"/>
          <w:sz w:val="18"/>
          <w:szCs w:val="18"/>
        </w:rPr>
      </w:pPr>
    </w:p>
    <w:p w14:paraId="53FC9DA1" w14:textId="77777777" w:rsidR="00A47CF6" w:rsidRDefault="00A47CF6" w:rsidP="00A47CF6">
      <w:pPr>
        <w:pStyle w:val="paragraph"/>
        <w:spacing w:before="0" w:beforeAutospacing="0" w:after="0" w:afterAutospacing="0"/>
        <w:textAlignment w:val="baseline"/>
        <w:rPr>
          <w:rStyle w:val="eop"/>
          <w:lang w:val="en-US"/>
        </w:rPr>
      </w:pPr>
      <w:r>
        <w:rPr>
          <w:rStyle w:val="normaltextrun"/>
          <w:b/>
          <w:bCs/>
          <w:lang w:val="en-US"/>
        </w:rPr>
        <w:t>Background:</w:t>
      </w:r>
      <w:r>
        <w:rPr>
          <w:rStyle w:val="normaltextrun"/>
          <w:lang w:val="en-US"/>
        </w:rPr>
        <w:t xml:space="preserve"> Recent data from a Transitional Care Unit (TCU) identified that 43% of older adult patients transferred to acute care facilities had risk factors for delirium. None of these patients had been assessed for delirium using a validated assessment tool. After surveying nurses, gaps were identified in knowledge of risk factors and recognition of delirium, management, prevention, and the use of the Confusion Assessment Method (CAM-S) tool. </w:t>
      </w:r>
      <w:r>
        <w:rPr>
          <w:rStyle w:val="eop"/>
          <w:lang w:val="en-US"/>
        </w:rPr>
        <w:t> </w:t>
      </w:r>
    </w:p>
    <w:p w14:paraId="390FB02C" w14:textId="77777777" w:rsidR="00A47CF6" w:rsidRDefault="00A47CF6" w:rsidP="00A47CF6">
      <w:pPr>
        <w:pStyle w:val="paragraph"/>
        <w:spacing w:before="0" w:beforeAutospacing="0" w:after="0" w:afterAutospacing="0"/>
        <w:textAlignment w:val="baseline"/>
        <w:rPr>
          <w:rFonts w:ascii="Segoe UI" w:hAnsi="Segoe UI" w:cs="Segoe UI"/>
          <w:sz w:val="18"/>
          <w:szCs w:val="18"/>
          <w:lang w:val="en-US"/>
        </w:rPr>
      </w:pPr>
    </w:p>
    <w:p w14:paraId="1D381B4F" w14:textId="77777777" w:rsidR="00A47CF6" w:rsidRDefault="00A47CF6" w:rsidP="00A47CF6">
      <w:pPr>
        <w:pStyle w:val="paragraph"/>
        <w:spacing w:before="0" w:beforeAutospacing="0" w:after="0" w:afterAutospacing="0"/>
        <w:textAlignment w:val="baseline"/>
        <w:rPr>
          <w:rStyle w:val="eop"/>
        </w:rPr>
      </w:pPr>
      <w:r>
        <w:rPr>
          <w:rStyle w:val="normaltextrun"/>
          <w:b/>
          <w:bCs/>
          <w:lang w:val="en-US"/>
        </w:rPr>
        <w:t>Purpose:</w:t>
      </w:r>
      <w:r>
        <w:rPr>
          <w:rStyle w:val="normaltextrun"/>
          <w:lang w:val="en-US"/>
        </w:rPr>
        <w:t xml:space="preserve"> This project aims to evaluate the effectiveness of education on delirium in improving nurses’ knowledge, competency level when assessing with the CAM-S tool, and the early identification of delirium.</w:t>
      </w:r>
      <w:r>
        <w:rPr>
          <w:rStyle w:val="eop"/>
        </w:rPr>
        <w:t> </w:t>
      </w:r>
    </w:p>
    <w:p w14:paraId="05EA9156" w14:textId="77777777" w:rsidR="00A47CF6" w:rsidRDefault="00A47CF6" w:rsidP="00A47CF6">
      <w:pPr>
        <w:pStyle w:val="paragraph"/>
        <w:spacing w:before="0" w:beforeAutospacing="0" w:after="0" w:afterAutospacing="0"/>
        <w:textAlignment w:val="baseline"/>
        <w:rPr>
          <w:rFonts w:ascii="Segoe UI" w:hAnsi="Segoe UI" w:cs="Segoe UI"/>
          <w:sz w:val="18"/>
          <w:szCs w:val="18"/>
        </w:rPr>
      </w:pPr>
    </w:p>
    <w:p w14:paraId="0C7C55CF" w14:textId="77777777" w:rsidR="00A47CF6" w:rsidRDefault="00A47CF6" w:rsidP="00A47CF6">
      <w:pPr>
        <w:pStyle w:val="paragraph"/>
        <w:spacing w:before="0" w:beforeAutospacing="0" w:after="0" w:afterAutospacing="0"/>
        <w:textAlignment w:val="baseline"/>
        <w:rPr>
          <w:rStyle w:val="eop"/>
        </w:rPr>
      </w:pPr>
      <w:r>
        <w:rPr>
          <w:rStyle w:val="normaltextrun"/>
          <w:b/>
          <w:bCs/>
          <w:lang w:val="en-US"/>
        </w:rPr>
        <w:t>Framework:</w:t>
      </w:r>
      <w:r>
        <w:rPr>
          <w:rStyle w:val="normaltextrun"/>
          <w:lang w:val="en-US"/>
        </w:rPr>
        <w:t xml:space="preserve"> This project applied Kolb’s experiential and constructivist learning theories to delirium education and the Knowledge-to-Action framework to implement the tool and evaluate its effectiveness in identifying delirium.</w:t>
      </w:r>
      <w:r>
        <w:rPr>
          <w:rStyle w:val="eop"/>
        </w:rPr>
        <w:t> </w:t>
      </w:r>
    </w:p>
    <w:p w14:paraId="42C54670" w14:textId="77777777" w:rsidR="00A47CF6" w:rsidRDefault="00A47CF6" w:rsidP="00A47CF6">
      <w:pPr>
        <w:pStyle w:val="paragraph"/>
        <w:spacing w:before="0" w:beforeAutospacing="0" w:after="0" w:afterAutospacing="0"/>
        <w:textAlignment w:val="baseline"/>
        <w:rPr>
          <w:rFonts w:ascii="Segoe UI" w:hAnsi="Segoe UI" w:cs="Segoe UI"/>
          <w:sz w:val="18"/>
          <w:szCs w:val="18"/>
        </w:rPr>
      </w:pPr>
    </w:p>
    <w:p w14:paraId="18F48AD8" w14:textId="13E29133" w:rsidR="00A47CF6" w:rsidRDefault="00A47CF6" w:rsidP="00A47CF6">
      <w:pPr>
        <w:pStyle w:val="paragraph"/>
        <w:spacing w:before="0" w:beforeAutospacing="0" w:after="0" w:afterAutospacing="0"/>
        <w:textAlignment w:val="baseline"/>
        <w:rPr>
          <w:rStyle w:val="eop"/>
        </w:rPr>
      </w:pPr>
      <w:r>
        <w:rPr>
          <w:rStyle w:val="normaltextrun"/>
          <w:b/>
          <w:bCs/>
          <w:lang w:val="en-US"/>
        </w:rPr>
        <w:t>Process:</w:t>
      </w:r>
      <w:r>
        <w:rPr>
          <w:rStyle w:val="normaltextrun"/>
          <w:lang w:val="en-US"/>
        </w:rPr>
        <w:t xml:space="preserve"> </w:t>
      </w:r>
      <w:r w:rsidR="0084238E">
        <w:rPr>
          <w:rStyle w:val="normaltextrun"/>
          <w:lang w:val="en-US"/>
        </w:rPr>
        <w:t>38</w:t>
      </w:r>
      <w:r>
        <w:rPr>
          <w:rStyle w:val="normaltextrun"/>
          <w:lang w:val="en-US"/>
        </w:rPr>
        <w:t> nurses attended delirium education. The participants completed pre- and post-self-reported knowledge questionnaires on delirium signs and symptoms, risk factors, interventions, prevention strategies, the CAM-S tool, and their confidence in using the tool. The tool was integrated into routine patient assessments. Health records audits are conducted to determine the percentage of patients screened and identified as positive for delirium, and the percentage of patients transferred to acute care with risk factors for delirium.</w:t>
      </w:r>
      <w:r>
        <w:rPr>
          <w:rStyle w:val="eop"/>
        </w:rPr>
        <w:t> </w:t>
      </w:r>
    </w:p>
    <w:p w14:paraId="23835F3F" w14:textId="77777777" w:rsidR="00A47CF6" w:rsidRDefault="00A47CF6" w:rsidP="00A47CF6">
      <w:pPr>
        <w:pStyle w:val="paragraph"/>
        <w:spacing w:before="0" w:beforeAutospacing="0" w:after="0" w:afterAutospacing="0"/>
        <w:textAlignment w:val="baseline"/>
        <w:rPr>
          <w:rFonts w:ascii="Segoe UI" w:hAnsi="Segoe UI" w:cs="Segoe UI"/>
          <w:sz w:val="18"/>
          <w:szCs w:val="18"/>
        </w:rPr>
      </w:pPr>
    </w:p>
    <w:p w14:paraId="787F2D1F" w14:textId="77777777" w:rsidR="00A47CF6" w:rsidRDefault="00A47CF6" w:rsidP="00A47CF6">
      <w:pPr>
        <w:pStyle w:val="paragraph"/>
        <w:spacing w:before="0" w:beforeAutospacing="0" w:after="0" w:afterAutospacing="0"/>
        <w:textAlignment w:val="baseline"/>
        <w:rPr>
          <w:rStyle w:val="eop"/>
        </w:rPr>
      </w:pPr>
      <w:r>
        <w:rPr>
          <w:rStyle w:val="normaltextrun"/>
          <w:b/>
          <w:bCs/>
          <w:lang w:val="en-US"/>
        </w:rPr>
        <w:t>Findings:</w:t>
      </w:r>
      <w:r>
        <w:rPr>
          <w:rStyle w:val="normaltextrun"/>
          <w:lang w:val="en-US"/>
        </w:rPr>
        <w:t xml:space="preserve"> After the education, nurses’ understanding of delirium significantly increased in several areas: knowledge of signs and symptoms, risk factors, interventions, prevention strategies, and increased confidence when utilizing the CAM-S tool for assessment of delirium. This resulted in improved screening rates, decreased delirium rates, and reduced acute care transfers.</w:t>
      </w:r>
      <w:r>
        <w:rPr>
          <w:rStyle w:val="eop"/>
        </w:rPr>
        <w:t> </w:t>
      </w:r>
    </w:p>
    <w:p w14:paraId="7FA06018" w14:textId="77777777" w:rsidR="00A47CF6" w:rsidRDefault="00A47CF6" w:rsidP="00A47CF6">
      <w:pPr>
        <w:pStyle w:val="paragraph"/>
        <w:spacing w:before="0" w:beforeAutospacing="0" w:after="0" w:afterAutospacing="0"/>
        <w:textAlignment w:val="baseline"/>
        <w:rPr>
          <w:rFonts w:ascii="Segoe UI" w:hAnsi="Segoe UI" w:cs="Segoe UI"/>
          <w:sz w:val="18"/>
          <w:szCs w:val="18"/>
        </w:rPr>
      </w:pPr>
    </w:p>
    <w:p w14:paraId="41F3085B" w14:textId="77777777" w:rsidR="00A47CF6" w:rsidRDefault="00A47CF6" w:rsidP="00A47CF6">
      <w:pPr>
        <w:pStyle w:val="paragraph"/>
        <w:spacing w:before="0" w:beforeAutospacing="0" w:after="0" w:afterAutospacing="0"/>
        <w:textAlignment w:val="baseline"/>
        <w:rPr>
          <w:rFonts w:ascii="Segoe UI" w:hAnsi="Segoe UI" w:cs="Segoe UI"/>
          <w:sz w:val="18"/>
          <w:szCs w:val="18"/>
        </w:rPr>
      </w:pPr>
      <w:r>
        <w:rPr>
          <w:rStyle w:val="normaltextrun"/>
          <w:b/>
          <w:bCs/>
          <w:lang w:val="en-US"/>
        </w:rPr>
        <w:t>Conclusion:</w:t>
      </w:r>
      <w:r>
        <w:rPr>
          <w:rStyle w:val="normaltextrun"/>
          <w:lang w:val="en-US"/>
        </w:rPr>
        <w:t xml:space="preserve"> Multimodal and interactive education improved nurses’ knowledge of delirium and confidence in using the tool. The KTA framework improved delirium screening rates, facilitating timely interventions and enhancing patient outcomes for those exhibiting risk factors for delirium.</w:t>
      </w:r>
      <w:r>
        <w:rPr>
          <w:rStyle w:val="eop"/>
        </w:rPr>
        <w:t> </w:t>
      </w:r>
    </w:p>
    <w:p w14:paraId="23945BE9" w14:textId="77777777" w:rsidR="00A47CF6" w:rsidRDefault="00A47CF6" w:rsidP="00A47CF6">
      <w:pPr>
        <w:pStyle w:val="paragraph"/>
        <w:spacing w:before="0" w:beforeAutospacing="0" w:after="0" w:afterAutospacing="0"/>
        <w:textAlignment w:val="baseline"/>
        <w:rPr>
          <w:rFonts w:ascii="Segoe UI" w:hAnsi="Segoe UI" w:cs="Segoe UI"/>
          <w:sz w:val="18"/>
          <w:szCs w:val="18"/>
        </w:rPr>
      </w:pPr>
      <w:r>
        <w:rPr>
          <w:rStyle w:val="eop"/>
          <w:color w:val="0E101A"/>
        </w:rPr>
        <w:t> </w:t>
      </w:r>
    </w:p>
    <w:p w14:paraId="32A4AD33" w14:textId="77777777" w:rsidR="0084238E" w:rsidRPr="00713FC6" w:rsidRDefault="0084238E" w:rsidP="0084238E">
      <w:pPr>
        <w:ind w:right="146"/>
        <w:rPr>
          <w:rFonts w:ascii="Times New Roman" w:hAnsi="Times New Roman" w:cs="Times New Roman"/>
          <w:sz w:val="24"/>
          <w:szCs w:val="24"/>
        </w:rPr>
      </w:pPr>
      <w:r w:rsidRPr="00713FC6">
        <w:rPr>
          <w:rFonts w:ascii="Times New Roman" w:hAnsi="Times New Roman" w:cs="Times New Roman"/>
          <w:b/>
          <w:color w:val="000000"/>
          <w:sz w:val="24"/>
          <w:szCs w:val="24"/>
        </w:rPr>
        <w:t>Learning Objectives</w:t>
      </w:r>
    </w:p>
    <w:p w14:paraId="72954874" w14:textId="77777777" w:rsidR="0084238E" w:rsidRDefault="0084238E" w:rsidP="0084238E">
      <w:pPr>
        <w:ind w:left="270" w:right="146"/>
        <w:rPr>
          <w:rFonts w:ascii="Times New Roman" w:hAnsi="Times New Roman" w:cs="Times New Roman"/>
          <w:i/>
          <w:color w:val="000000"/>
          <w:sz w:val="24"/>
          <w:szCs w:val="24"/>
        </w:rPr>
      </w:pPr>
      <w:r w:rsidRPr="00BA48A8">
        <w:rPr>
          <w:rFonts w:ascii="Times New Roman" w:hAnsi="Times New Roman" w:cs="Times New Roman"/>
          <w:i/>
          <w:color w:val="000000"/>
          <w:sz w:val="24"/>
          <w:szCs w:val="24"/>
        </w:rPr>
        <w:t>By participating in the presentation, participants will be able to:</w:t>
      </w:r>
    </w:p>
    <w:p w14:paraId="64097C8E" w14:textId="12CCE293" w:rsidR="0084238E" w:rsidRDefault="0084238E" w:rsidP="0084238E">
      <w:pPr>
        <w:pStyle w:val="ListParagraph"/>
        <w:numPr>
          <w:ilvl w:val="0"/>
          <w:numId w:val="1"/>
        </w:numPr>
        <w:ind w:right="146"/>
        <w:rPr>
          <w:rFonts w:ascii="Times New Roman" w:hAnsi="Times New Roman" w:cs="Times New Roman"/>
          <w:sz w:val="24"/>
          <w:szCs w:val="24"/>
        </w:rPr>
      </w:pPr>
      <w:r w:rsidRPr="00E921DD">
        <w:rPr>
          <w:rFonts w:ascii="Times New Roman" w:hAnsi="Times New Roman" w:cs="Times New Roman"/>
          <w:sz w:val="24"/>
          <w:szCs w:val="24"/>
        </w:rPr>
        <w:t>Explain the significance of</w:t>
      </w:r>
      <w:r>
        <w:rPr>
          <w:rFonts w:ascii="Times New Roman" w:hAnsi="Times New Roman" w:cs="Times New Roman"/>
          <w:sz w:val="24"/>
          <w:szCs w:val="24"/>
        </w:rPr>
        <w:t xml:space="preserve"> using </w:t>
      </w:r>
      <w:r w:rsidRPr="00E921DD">
        <w:rPr>
          <w:rFonts w:ascii="Times New Roman" w:hAnsi="Times New Roman" w:cs="Times New Roman"/>
          <w:sz w:val="24"/>
          <w:szCs w:val="24"/>
        </w:rPr>
        <w:t xml:space="preserve">the </w:t>
      </w:r>
      <w:r>
        <w:rPr>
          <w:rFonts w:ascii="Times New Roman" w:hAnsi="Times New Roman" w:cs="Times New Roman"/>
          <w:sz w:val="24"/>
          <w:szCs w:val="24"/>
        </w:rPr>
        <w:t>Confusion Assessment Method (CAM-S tool) in clinical practice and evaluate its impact on patient outcomes.</w:t>
      </w:r>
    </w:p>
    <w:p w14:paraId="5AFC3B83" w14:textId="77777777" w:rsidR="0084238E" w:rsidRPr="00E921DD" w:rsidRDefault="0084238E" w:rsidP="0084238E">
      <w:pPr>
        <w:pStyle w:val="ListParagraph"/>
        <w:ind w:right="146"/>
        <w:rPr>
          <w:rFonts w:ascii="Times New Roman" w:hAnsi="Times New Roman" w:cs="Times New Roman"/>
          <w:sz w:val="24"/>
          <w:szCs w:val="24"/>
        </w:rPr>
      </w:pPr>
    </w:p>
    <w:p w14:paraId="1983E7F5" w14:textId="24353837" w:rsidR="0084238E" w:rsidRDefault="0084238E" w:rsidP="0084238E">
      <w:pPr>
        <w:pStyle w:val="ListParagraph"/>
        <w:numPr>
          <w:ilvl w:val="0"/>
          <w:numId w:val="1"/>
        </w:numPr>
        <w:ind w:right="146"/>
        <w:rPr>
          <w:rFonts w:ascii="Times New Roman" w:hAnsi="Times New Roman" w:cs="Times New Roman"/>
          <w:sz w:val="24"/>
          <w:szCs w:val="24"/>
        </w:rPr>
      </w:pPr>
      <w:r>
        <w:rPr>
          <w:rFonts w:ascii="Times New Roman" w:hAnsi="Times New Roman" w:cs="Times New Roman"/>
          <w:sz w:val="24"/>
          <w:szCs w:val="24"/>
        </w:rPr>
        <w:t>Apply the steps of the Knowledge-to-Action framework for CAM-S tool implementation</w:t>
      </w:r>
      <w:r w:rsidR="00BD1A13">
        <w:rPr>
          <w:rFonts w:ascii="Times New Roman" w:hAnsi="Times New Roman" w:cs="Times New Roman"/>
          <w:sz w:val="24"/>
          <w:szCs w:val="24"/>
        </w:rPr>
        <w:t xml:space="preserve"> and sustainability.</w:t>
      </w:r>
    </w:p>
    <w:p w14:paraId="746673E6" w14:textId="77777777" w:rsidR="0084238E" w:rsidRPr="00351567" w:rsidRDefault="0084238E" w:rsidP="0084238E">
      <w:pPr>
        <w:pStyle w:val="ListParagraph"/>
        <w:rPr>
          <w:rFonts w:ascii="Times New Roman" w:hAnsi="Times New Roman" w:cs="Times New Roman"/>
          <w:sz w:val="24"/>
          <w:szCs w:val="24"/>
        </w:rPr>
      </w:pPr>
    </w:p>
    <w:p w14:paraId="7A87D7C6" w14:textId="75B50146" w:rsidR="00A47CF6" w:rsidRDefault="0084238E" w:rsidP="00EF636D">
      <w:pPr>
        <w:pStyle w:val="ListParagraph"/>
        <w:numPr>
          <w:ilvl w:val="0"/>
          <w:numId w:val="1"/>
        </w:numPr>
        <w:ind w:right="146"/>
      </w:pPr>
      <w:r w:rsidRPr="0084238E">
        <w:rPr>
          <w:rFonts w:ascii="Times New Roman" w:eastAsia="Times New Roman" w:hAnsi="Times New Roman" w:cs="Times New Roman"/>
          <w:kern w:val="0"/>
          <w:sz w:val="24"/>
          <w:szCs w:val="24"/>
          <w:lang w:eastAsia="en-CA"/>
          <w14:ligatures w14:val="none"/>
        </w:rPr>
        <w:t>Examine the effectiveness of education on delirium in increasing nurses’ knowledge of risk factors and recognition of delirium, management, prevention, and confidence in using the CAM-S tool</w:t>
      </w:r>
      <w:r>
        <w:rPr>
          <w:rFonts w:ascii="Times New Roman" w:eastAsia="Times New Roman" w:hAnsi="Times New Roman" w:cs="Times New Roman"/>
          <w:kern w:val="0"/>
          <w:sz w:val="24"/>
          <w:szCs w:val="24"/>
          <w:lang w:eastAsia="en-CA"/>
          <w14:ligatures w14:val="none"/>
        </w:rPr>
        <w:t>.</w:t>
      </w:r>
    </w:p>
    <w:sectPr w:rsidR="00A47C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8819AD"/>
    <w:multiLevelType w:val="hybridMultilevel"/>
    <w:tmpl w:val="705C060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35512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F6"/>
    <w:rsid w:val="001A4768"/>
    <w:rsid w:val="00557640"/>
    <w:rsid w:val="005E29C7"/>
    <w:rsid w:val="007212C0"/>
    <w:rsid w:val="0084238E"/>
    <w:rsid w:val="00A47CF6"/>
    <w:rsid w:val="00B64DE1"/>
    <w:rsid w:val="00BD1A13"/>
    <w:rsid w:val="00BF0BAD"/>
    <w:rsid w:val="00DF55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835F"/>
  <w15:chartTrackingRefBased/>
  <w15:docId w15:val="{B318C716-2AD5-4FA2-80A3-E2F46ACA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47CF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A47CF6"/>
  </w:style>
  <w:style w:type="character" w:customStyle="1" w:styleId="eop">
    <w:name w:val="eop"/>
    <w:basedOn w:val="DefaultParagraphFont"/>
    <w:rsid w:val="00A47CF6"/>
  </w:style>
  <w:style w:type="paragraph" w:styleId="ListParagraph">
    <w:name w:val="List Paragraph"/>
    <w:basedOn w:val="Normal"/>
    <w:uiPriority w:val="34"/>
    <w:qFormat/>
    <w:rsid w:val="00842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247113">
      <w:bodyDiv w:val="1"/>
      <w:marLeft w:val="0"/>
      <w:marRight w:val="0"/>
      <w:marTop w:val="0"/>
      <w:marBottom w:val="0"/>
      <w:divBdr>
        <w:top w:val="none" w:sz="0" w:space="0" w:color="auto"/>
        <w:left w:val="none" w:sz="0" w:space="0" w:color="auto"/>
        <w:bottom w:val="none" w:sz="0" w:space="0" w:color="auto"/>
        <w:right w:val="none" w:sz="0" w:space="0" w:color="auto"/>
      </w:divBdr>
      <w:divsChild>
        <w:div w:id="1768110075">
          <w:marLeft w:val="0"/>
          <w:marRight w:val="0"/>
          <w:marTop w:val="0"/>
          <w:marBottom w:val="0"/>
          <w:divBdr>
            <w:top w:val="none" w:sz="0" w:space="0" w:color="auto"/>
            <w:left w:val="none" w:sz="0" w:space="0" w:color="auto"/>
            <w:bottom w:val="none" w:sz="0" w:space="0" w:color="auto"/>
            <w:right w:val="none" w:sz="0" w:space="0" w:color="auto"/>
          </w:divBdr>
        </w:div>
        <w:div w:id="568422642">
          <w:marLeft w:val="0"/>
          <w:marRight w:val="0"/>
          <w:marTop w:val="0"/>
          <w:marBottom w:val="0"/>
          <w:divBdr>
            <w:top w:val="none" w:sz="0" w:space="0" w:color="auto"/>
            <w:left w:val="none" w:sz="0" w:space="0" w:color="auto"/>
            <w:bottom w:val="none" w:sz="0" w:space="0" w:color="auto"/>
            <w:right w:val="none" w:sz="0" w:space="0" w:color="auto"/>
          </w:divBdr>
        </w:div>
        <w:div w:id="472019822">
          <w:marLeft w:val="0"/>
          <w:marRight w:val="0"/>
          <w:marTop w:val="0"/>
          <w:marBottom w:val="0"/>
          <w:divBdr>
            <w:top w:val="none" w:sz="0" w:space="0" w:color="auto"/>
            <w:left w:val="none" w:sz="0" w:space="0" w:color="auto"/>
            <w:bottom w:val="none" w:sz="0" w:space="0" w:color="auto"/>
            <w:right w:val="none" w:sz="0" w:space="0" w:color="auto"/>
          </w:divBdr>
        </w:div>
        <w:div w:id="2064061721">
          <w:marLeft w:val="0"/>
          <w:marRight w:val="0"/>
          <w:marTop w:val="0"/>
          <w:marBottom w:val="0"/>
          <w:divBdr>
            <w:top w:val="none" w:sz="0" w:space="0" w:color="auto"/>
            <w:left w:val="none" w:sz="0" w:space="0" w:color="auto"/>
            <w:bottom w:val="none" w:sz="0" w:space="0" w:color="auto"/>
            <w:right w:val="none" w:sz="0" w:space="0" w:color="auto"/>
          </w:divBdr>
        </w:div>
        <w:div w:id="1572274649">
          <w:marLeft w:val="0"/>
          <w:marRight w:val="0"/>
          <w:marTop w:val="0"/>
          <w:marBottom w:val="0"/>
          <w:divBdr>
            <w:top w:val="none" w:sz="0" w:space="0" w:color="auto"/>
            <w:left w:val="none" w:sz="0" w:space="0" w:color="auto"/>
            <w:bottom w:val="none" w:sz="0" w:space="0" w:color="auto"/>
            <w:right w:val="none" w:sz="0" w:space="0" w:color="auto"/>
          </w:divBdr>
        </w:div>
        <w:div w:id="1686397659">
          <w:marLeft w:val="0"/>
          <w:marRight w:val="0"/>
          <w:marTop w:val="0"/>
          <w:marBottom w:val="0"/>
          <w:divBdr>
            <w:top w:val="none" w:sz="0" w:space="0" w:color="auto"/>
            <w:left w:val="none" w:sz="0" w:space="0" w:color="auto"/>
            <w:bottom w:val="none" w:sz="0" w:space="0" w:color="auto"/>
            <w:right w:val="none" w:sz="0" w:space="0" w:color="auto"/>
          </w:divBdr>
        </w:div>
        <w:div w:id="528371841">
          <w:marLeft w:val="0"/>
          <w:marRight w:val="0"/>
          <w:marTop w:val="0"/>
          <w:marBottom w:val="0"/>
          <w:divBdr>
            <w:top w:val="none" w:sz="0" w:space="0" w:color="auto"/>
            <w:left w:val="none" w:sz="0" w:space="0" w:color="auto"/>
            <w:bottom w:val="none" w:sz="0" w:space="0" w:color="auto"/>
            <w:right w:val="none" w:sz="0" w:space="0" w:color="auto"/>
          </w:divBdr>
        </w:div>
        <w:div w:id="2079862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Rlen Atienza</dc:creator>
  <cp:keywords/>
  <dc:description/>
  <cp:lastModifiedBy>Rlen Atienza</cp:lastModifiedBy>
  <cp:revision>11</cp:revision>
  <dcterms:created xsi:type="dcterms:W3CDTF">2024-06-29T04:08:00Z</dcterms:created>
  <dcterms:modified xsi:type="dcterms:W3CDTF">2024-07-05T13:59:00Z</dcterms:modified>
</cp:coreProperties>
</file>